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bookmarkStart w:id="0" w:name="_GoBack"/>
      <w:r w:rsidR="00A30551" w:rsidRPr="00886D73">
        <w:rPr>
          <w:sz w:val="24"/>
          <w:szCs w:val="24"/>
        </w:rPr>
        <w:t>ТО</w:t>
      </w:r>
      <w:r w:rsidR="0068757B" w:rsidRPr="00886D73">
        <w:rPr>
          <w:rFonts w:eastAsia="Calibri"/>
          <w:sz w:val="22"/>
          <w:szCs w:val="21"/>
          <w:lang w:eastAsia="en-US"/>
        </w:rPr>
        <w:t xml:space="preserve">О </w:t>
      </w:r>
      <w:r w:rsidR="006F54F7">
        <w:t>"УРАЛЬСКГОРДОРСТРОЙ"</w:t>
      </w:r>
      <w:bookmarkEnd w:id="0"/>
      <w:r w:rsidR="006F54F7">
        <w:t xml:space="preserve">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6F54F7" w:rsidRPr="006F54F7">
        <w:rPr>
          <w:b/>
          <w:sz w:val="24"/>
          <w:szCs w:val="24"/>
        </w:rPr>
        <w:t>16</w:t>
      </w:r>
      <w:r w:rsidR="001C12BB" w:rsidRPr="006F54F7">
        <w:rPr>
          <w:b/>
          <w:sz w:val="24"/>
          <w:szCs w:val="24"/>
        </w:rPr>
        <w:t>.</w:t>
      </w:r>
      <w:r w:rsidR="006F54F7">
        <w:rPr>
          <w:b/>
          <w:sz w:val="24"/>
          <w:szCs w:val="24"/>
        </w:rPr>
        <w:t>02</w:t>
      </w:r>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2015-10-08T04:11:00Z</dcterms:created>
  <dcterms:modified xsi:type="dcterms:W3CDTF">2016-01-29T09:34:00Z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